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ROSAC0212ZPB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Rarău - Giumalău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85931029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53799122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32715231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2.100,80</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83,14%</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7219046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79967646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97121021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04945524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01832826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1929798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46,34</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RONPA0739 Rarău - Pietrele Doamnei;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nr. 2151/2004 privind instituirea regimului de arie naturală protejată pentru noi zone*): Rezervația științifică: Peștera Liliecilor</w:t>
        <w:tab/>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t xml:space="preserve">     </w:t>
      </w: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D">
            <w:pPr>
              <w:spacing w:after="0" w:line="24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rtl w:val="0"/>
              </w:rPr>
            </w:r>
          </w:p>
          <w:p w:rsidR="00000000" w:rsidDel="00000000" w:rsidP="00000000" w:rsidRDefault="00000000" w:rsidRPr="00000000" w14:paraId="0000006E">
            <w:pPr>
              <w:spacing w:after="0" w:line="240" w:lineRule="auto"/>
              <w:jc w:val="both"/>
              <w:rPr>
                <w:b w:val="1"/>
                <w:bCs w:val="1"/>
                <w:sz w:val="22"/>
                <w:szCs w:val="22"/>
              </w:rPr>
            </w:pPr>
            <w:r w:rsidDel="00000000" w:rsidR="00000000" w:rsidRPr="00000000">
              <w:rPr>
                <w:b w:val="1"/>
                <w:bCs w:val="1"/>
                <w:sz w:val="22"/>
                <w:szCs w:val="22"/>
                <w:rtl w:val="0"/>
              </w:rPr>
              <w:t xml:space="preserve">Habitate de versanți stâncoși:</w:t>
            </w:r>
          </w:p>
          <w:p w:rsidR="00000000" w:rsidDel="00000000" w:rsidP="00000000" w:rsidRDefault="00000000" w:rsidRPr="00000000" w14:paraId="0000006F">
            <w:pPr>
              <w:spacing w:after="0" w:line="240" w:lineRule="auto"/>
              <w:jc w:val="both"/>
              <w:rPr>
                <w:sz w:val="22"/>
                <w:szCs w:val="22"/>
              </w:rPr>
            </w:pPr>
            <w:r w:rsidDel="00000000" w:rsidR="00000000" w:rsidRPr="00000000">
              <w:rPr>
                <w:sz w:val="22"/>
                <w:szCs w:val="22"/>
                <w:rtl w:val="0"/>
              </w:rPr>
              <w:t xml:space="preserve">8210 Versanţi stâncoşi cu vegetaţie chasmofitică pe roci calcaroase</w:t>
            </w:r>
          </w:p>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b w:val="1"/>
                <w:bCs w:val="1"/>
                <w:sz w:val="22"/>
                <w:szCs w:val="22"/>
                <w:rtl w:val="0"/>
              </w:rPr>
              <w:t xml:space="preserve">Alte habitate stâncoase:</w:t>
            </w:r>
          </w:p>
          <w:p w:rsidR="00000000" w:rsidDel="00000000" w:rsidP="00000000" w:rsidRDefault="00000000" w:rsidRPr="00000000" w14:paraId="00000071">
            <w:pPr>
              <w:spacing w:after="0" w:line="300" w:lineRule="auto"/>
              <w:jc w:val="both"/>
              <w:rPr>
                <w:sz w:val="22"/>
                <w:szCs w:val="22"/>
              </w:rPr>
            </w:pPr>
            <w:r w:rsidDel="00000000" w:rsidR="00000000" w:rsidRPr="00000000">
              <w:rPr>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4">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5">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i w:val="1"/>
                <w:i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jc w:val="both"/>
              <w:rPr>
                <w:sz w:val="22"/>
                <w:szCs w:val="22"/>
              </w:rPr>
            </w:pPr>
            <w:r w:rsidDel="00000000" w:rsidR="00000000" w:rsidRPr="00000000">
              <w:rPr>
                <w:sz w:val="22"/>
                <w:szCs w:val="22"/>
                <w:rtl w:val="0"/>
              </w:rPr>
              <w:t xml:space="preserve">Zonă de rezervație științifică, care reprezintă un ecosistem montan nealterat, definit prin interdependența dintre mediul subteran protejat și pădurile seculare de conifere. Valoarea ecologică centrală este dată de habitatul 8310 (Peșteri în care accesul publicului este interzis), care funcționează ca un hibernacul critic pentru o diversitate remarcabilă de chiroptere, incluzând specii rare precum Myotis dasycneme și Rhinolophus hipposideros. Suprateran prezența pădurilor acidofile de molid (9410) și a versanților stâncoși calcaroși (8210) asigură habitate de hrănire și coridoare de deplasare esențiale pentru carnivorele mari. Izolarea peșterii, menține un microclimat stabil și neperturbat, factor determinant pentru supraviețuirea coloniilor de lilieci pe parcursul iernii. Acest mozaic de stâncărie și pădure montană constituie un refugiu de biodiversitate unde procesele naturale se desfășoară fără interferență umană semnificativă.</w:t>
            </w:r>
          </w:p>
          <w:p w:rsidR="00000000" w:rsidDel="00000000" w:rsidP="00000000" w:rsidRDefault="00000000" w:rsidRPr="00000000" w14:paraId="0000008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seculare, precum și pe prezența speciilor de interes conservativ asociate.</w:t>
            </w:r>
          </w:p>
          <w:p w:rsidR="00000000" w:rsidDel="00000000" w:rsidP="00000000" w:rsidRDefault="00000000" w:rsidRPr="00000000" w14:paraId="00000084">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85">
            <w:pPr>
              <w:spacing w:after="0" w:line="240" w:lineRule="auto"/>
              <w:jc w:val="both"/>
              <w:rPr>
                <w:sz w:val="22"/>
                <w:szCs w:val="22"/>
              </w:rPr>
            </w:pPr>
            <w:r w:rsidDel="00000000" w:rsidR="00000000" w:rsidRPr="00000000">
              <w:rPr>
                <w:sz w:val="22"/>
                <w:szCs w:val="22"/>
                <w:rtl w:val="0"/>
              </w:rPr>
              <w:t xml:space="preserve">ZPB include și habitatul 8310 „Peşteri închise accesului public" — ecosistem subteran cu valoare conservativă ridicată, caracterizat prin stabilitate climatică, condiții ecologice specifice și prezența unor specii strict specializate (troglobionte, troglofile), adesea endemice și sensibile la perturbări. Ecosistemul subteran asigură habitat pentru specii de interes conservativ (în special chiroptere și nevertebrate cavernicole) și are rol în conectivitatea ecologică subterană, fiind în strânsă legătură cu ecosistemele de suprafață (zone de alimentare și infiltrație).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8">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Obiective și măsuri pentru ecosistemele de stâncărie și grohotiș din ZPB – regim de non-intervenție</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habitatelor și a speciilor rare, endemice sau sensibile asociate stâncăriilor și grohotișurilor.</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microhabitatelor naturale (fisuri, cornișe, platforme, grohotișuri mobile) și a condițiilor de microclimat.</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dinamicii geomorfologice naturale (eroziune, acumulare, căderi de blocuri), fără stabilizări artificiale.</w:t>
            </w:r>
          </w:p>
          <w:p w:rsidR="00000000" w:rsidDel="00000000" w:rsidP="00000000" w:rsidRDefault="00000000" w:rsidRPr="00000000" w14:paraId="000000A0">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deranjului și a degradărilor fizice cauzate de accesul și activitățile umane.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detectarea timpurie a presiunilor.</w:t>
            </w:r>
          </w:p>
          <w:p w:rsidR="00000000" w:rsidDel="00000000" w:rsidP="00000000" w:rsidRDefault="00000000" w:rsidRPr="00000000" w14:paraId="000000A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În ecosistemele de stâncărie și grohotiș nu se realizează lucrări de stabilizare, consolidare, amenajare, curățare sau eliminare a vegetației specifice.</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A5">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A6">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A7">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Sunt interzise extragerea de materiale, amenajările turistice noi, deschiderea de drumuri și orice intervenție care modifică caracterul natural al stâncăriilor.</w:t>
            </w:r>
          </w:p>
          <w:p w:rsidR="00000000" w:rsidDel="00000000" w:rsidP="00000000" w:rsidRDefault="00000000" w:rsidRPr="00000000" w14:paraId="000000A8">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A9">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peșteră</w:t>
            </w:r>
          </w:p>
          <w:p w:rsidR="00000000" w:rsidDel="00000000" w:rsidP="00000000" w:rsidRDefault="00000000" w:rsidRPr="00000000" w14:paraId="000000AB">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AD">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B3">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0BC">
            <w:pPr>
              <w:spacing w:after="0" w:line="240" w:lineRule="auto"/>
              <w:jc w:val="both"/>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BF">
      <w:pPr>
        <w:spacing w:after="80" w:line="300" w:lineRule="auto"/>
        <w:rPr>
          <w:b w:val="1"/>
          <w:bCs w:val="1"/>
          <w:sz w:val="22"/>
          <w:szCs w:val="22"/>
        </w:rPr>
      </w:pPr>
      <w:r w:rsidDel="00000000" w:rsidR="00000000" w:rsidRPr="00000000">
        <w:rPr>
          <w:rtl w:val="0"/>
        </w:rPr>
      </w:r>
    </w:p>
    <w:p w:rsidR="00000000" w:rsidDel="00000000" w:rsidP="00000000" w:rsidRDefault="00000000" w:rsidRPr="00000000" w14:paraId="000000C0">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1">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3">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4">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1.137,54</w:t>
      </w:r>
    </w:p>
    <w:p w:rsidR="00000000" w:rsidDel="00000000" w:rsidP="00000000" w:rsidRDefault="00000000" w:rsidRPr="00000000" w14:paraId="000000C6">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Jurnalul Consiliului de Miniștri nr. 284/1941: Fânațele montane Todirescu, Codrul Secular Slătioara, Codrul Secular Giumalău</w:t>
        <w:tab/>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RONPA0739 Rarău - Pietrele Doamnei, RONPA0733 Fânațele montane Todirescu, RONPA0740 Codrul Secular Slătioara, RONPA0741 Codrul Secular Giumalău;</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D">
      <w:pPr>
        <w:spacing w:after="0" w:line="240" w:lineRule="auto"/>
        <w:rPr>
          <w:sz w:val="22"/>
          <w:szCs w:val="22"/>
        </w:rPr>
      </w:pPr>
      <w:r w:rsidDel="00000000" w:rsidR="00000000" w:rsidRPr="00000000">
        <w:rPr>
          <w:rtl w:val="0"/>
        </w:rPr>
        <w:t xml:space="preserve">     </w:t>
      </w: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817"/>
        <w:gridCol w:w="6147"/>
        <w:tblGridChange w:id="0">
          <w:tblGrid>
            <w:gridCol w:w="2817"/>
            <w:gridCol w:w="614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9110 Păduri de fag de tip </w:t>
            </w:r>
            <w:r w:rsidDel="00000000" w:rsidR="00000000" w:rsidRPr="00000000">
              <w:rPr>
                <w:i w:val="1"/>
                <w:iCs w:val="1"/>
                <w:sz w:val="22"/>
                <w:szCs w:val="22"/>
                <w:rtl w:val="0"/>
              </w:rPr>
              <w:t xml:space="preserve">Luzulo-Fagetum</w:t>
            </w:r>
            <w:r w:rsidDel="00000000" w:rsidR="00000000" w:rsidRPr="00000000">
              <w:rPr>
                <w:rtl w:val="0"/>
              </w:rPr>
            </w:r>
          </w:p>
          <w:p w:rsidR="00000000" w:rsidDel="00000000" w:rsidP="00000000" w:rsidRDefault="00000000" w:rsidRPr="00000000" w14:paraId="000000D3">
            <w:pPr>
              <w:spacing w:after="0" w:line="240" w:lineRule="auto"/>
              <w:jc w:val="both"/>
              <w:rPr>
                <w:i w:val="1"/>
                <w:iCs w:val="1"/>
                <w:sz w:val="22"/>
                <w:szCs w:val="22"/>
              </w:rPr>
            </w:pPr>
            <w:r w:rsidDel="00000000" w:rsidR="00000000" w:rsidRPr="00000000">
              <w:rPr>
                <w:sz w:val="22"/>
                <w:szCs w:val="22"/>
                <w:rtl w:val="0"/>
              </w:rPr>
              <w:t xml:space="preserve">91E0* Păduri aluviale cu </w:t>
            </w:r>
            <w:r w:rsidDel="00000000" w:rsidR="00000000" w:rsidRPr="00000000">
              <w:rPr>
                <w:i w:val="1"/>
                <w:iCs w:val="1"/>
                <w:sz w:val="22"/>
                <w:szCs w:val="22"/>
                <w:rtl w:val="0"/>
              </w:rPr>
              <w:t xml:space="preserve">Alnus glutinosa şi Fraxinus excelsior; Alno-Padion, Alnion incanae, Salicion albae</w:t>
            </w:r>
          </w:p>
          <w:p w:rsidR="00000000" w:rsidDel="00000000" w:rsidP="00000000" w:rsidRDefault="00000000" w:rsidRPr="00000000" w14:paraId="000000D4">
            <w:pPr>
              <w:spacing w:after="0" w:line="24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D5">
            <w:pPr>
              <w:spacing w:after="0" w:line="24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D8">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D9">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DC">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DD">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DE">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DF">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0">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E1">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E2">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E3">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E4">
            <w:pP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0E5">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E6">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E7">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E8">
            <w:pP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0E9">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0EA">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B">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C">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ED">
            <w:pPr>
              <w:spacing w:after="0" w:line="240" w:lineRule="auto"/>
              <w:rPr>
                <w:i w:val="1"/>
                <w:iCs w:val="1"/>
                <w:sz w:val="22"/>
                <w:szCs w:val="22"/>
              </w:rPr>
            </w:pPr>
            <w:r w:rsidDel="00000000" w:rsidR="00000000" w:rsidRPr="00000000">
              <w:rPr>
                <w:i w:val="1"/>
                <w:iCs w:val="1"/>
                <w:sz w:val="22"/>
                <w:szCs w:val="22"/>
                <w:rtl w:val="0"/>
              </w:rPr>
              <w:t xml:space="preserve">4014 Carabus variolosus</w:t>
            </w:r>
          </w:p>
          <w:p w:rsidR="00000000" w:rsidDel="00000000" w:rsidP="00000000" w:rsidRDefault="00000000" w:rsidRPr="00000000" w14:paraId="000000EE">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F">
            <w:pPr>
              <w:spacing w:after="0" w:line="24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F0">
            <w:pPr>
              <w:spacing w:after="0" w:line="24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F1">
            <w:pPr>
              <w:spacing w:after="0" w:line="240" w:lineRule="auto"/>
              <w:rPr>
                <w:i w:val="1"/>
                <w:iCs w:val="1"/>
                <w:sz w:val="22"/>
                <w:szCs w:val="22"/>
              </w:rPr>
            </w:pPr>
            <w:r w:rsidDel="00000000" w:rsidR="00000000" w:rsidRPr="00000000">
              <w:rPr>
                <w:i w:val="1"/>
                <w:iCs w:val="1"/>
                <w:sz w:val="22"/>
                <w:szCs w:val="22"/>
                <w:rtl w:val="0"/>
              </w:rPr>
              <w:t xml:space="preserve">1381 Dicranum viride </w:t>
            </w:r>
          </w:p>
          <w:p w:rsidR="00000000" w:rsidDel="00000000" w:rsidP="00000000" w:rsidRDefault="00000000" w:rsidRPr="00000000" w14:paraId="000000F2">
            <w:pPr>
              <w:spacing w:after="0" w:line="240" w:lineRule="auto"/>
              <w:rPr>
                <w:b w:val="1"/>
                <w:bCs w:val="1"/>
                <w:sz w:val="22"/>
                <w:szCs w:val="22"/>
              </w:rPr>
            </w:pPr>
            <w:r w:rsidDel="00000000" w:rsidR="00000000" w:rsidRPr="00000000">
              <w:rPr>
                <w:i w:val="1"/>
                <w:iCs w:val="1"/>
                <w:sz w:val="22"/>
                <w:szCs w:val="22"/>
                <w:rtl w:val="0"/>
              </w:rPr>
              <w:t xml:space="preserve">4116 Tozzia carpathica</w:t>
            </w:r>
            <w:r w:rsidDel="00000000" w:rsidR="00000000" w:rsidRPr="00000000">
              <w:rPr>
                <w:rtl w:val="0"/>
              </w:rPr>
            </w:r>
          </w:p>
          <w:p w:rsidR="00000000" w:rsidDel="00000000" w:rsidP="00000000" w:rsidRDefault="00000000" w:rsidRPr="00000000" w14:paraId="000000F3">
            <w:pPr>
              <w:spacing w:after="0" w:line="240" w:lineRule="auto"/>
              <w:rPr>
                <w:i w:val="1"/>
                <w:iCs w:val="1"/>
                <w:sz w:val="22"/>
                <w:szCs w:val="22"/>
              </w:rPr>
            </w:pPr>
            <w:r w:rsidDel="00000000" w:rsidR="00000000" w:rsidRPr="00000000">
              <w:rPr>
                <w:i w:val="1"/>
                <w:iCs w:val="1"/>
                <w:sz w:val="22"/>
                <w:szCs w:val="22"/>
                <w:rtl w:val="0"/>
              </w:rPr>
              <w:t xml:space="preserve">Taxus baccata</w:t>
            </w:r>
          </w:p>
          <w:p w:rsidR="00000000" w:rsidDel="00000000" w:rsidP="00000000" w:rsidRDefault="00000000" w:rsidRPr="00000000" w14:paraId="000000F4">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5">
            <w:pPr>
              <w:spacing w:after="0" w:line="24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F6">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7">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F8">
            <w:pPr>
              <w:spacing w:after="0" w:line="24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F9">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A">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FB">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FC">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D">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FE">
            <w:pP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F">
            <w:pPr>
              <w:spacing w:after="0" w:line="24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00">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300" w:lineRule="auto"/>
              <w:jc w:val="both"/>
              <w:rPr>
                <w:sz w:val="22"/>
                <w:szCs w:val="22"/>
              </w:rPr>
            </w:pPr>
            <w:r w:rsidDel="00000000" w:rsidR="00000000" w:rsidRPr="00000000">
              <w:rPr>
                <w:sz w:val="22"/>
                <w:szCs w:val="22"/>
                <w:rtl w:val="0"/>
              </w:rPr>
              <w:t xml:space="preserve">Zonă cu păduri virgine / cvasivirgine, care reprezintă unele dintre cele mai valoroase ecosisteme forestiere din Europa, fiind definite prin structura complexă a pădurilor virgine și seculare de amestec. Valoarea ecologică este dată de prezența unor arbori monumentali și a unui volum mare de lemn mort, care oferă habitate unice pentru specii relicte și extrem de specializate.Succesiunea de habitate, de la pădurile aluviale (91E0*) la făgetele dacice (91V0) și molidișurile acidofile (9410), susține o rețea trofică completă, dominată de prezența marilor prădători: ursul, lupul și râsul. </w:t>
            </w:r>
          </w:p>
          <w:p w:rsidR="00000000" w:rsidDel="00000000" w:rsidP="00000000" w:rsidRDefault="00000000" w:rsidRPr="00000000" w14:paraId="00000103">
            <w:pPr>
              <w:spacing w:after="0" w:line="300" w:lineRule="auto"/>
              <w:jc w:val="both"/>
              <w:rPr>
                <w:sz w:val="22"/>
                <w:szCs w:val="22"/>
              </w:rPr>
            </w:pPr>
            <w:r w:rsidDel="00000000" w:rsidR="00000000" w:rsidRPr="00000000">
              <w:rPr>
                <w:sz w:val="22"/>
                <w:szCs w:val="22"/>
                <w:rtl w:val="0"/>
              </w:rPr>
              <w:t xml:space="preserve">Calitatea excepțională a acestor păduri ca adăpost este demonstrată de diversitatea mare de chiroptere, inclusiv specii periclitate precum Myotis dasycneme, care utilizează scorbura arborilor bătrâni pentru maternitate și odihnă. Biodiversitatea este completată de rarități botanice precum papucul doamnei (</w:t>
            </w:r>
            <w:r w:rsidDel="00000000" w:rsidR="00000000" w:rsidRPr="00000000">
              <w:rPr>
                <w:i w:val="1"/>
                <w:iCs w:val="1"/>
                <w:sz w:val="22"/>
                <w:szCs w:val="22"/>
                <w:rtl w:val="0"/>
              </w:rPr>
              <w:t xml:space="preserve">Cypripedium calceolus</w:t>
            </w:r>
            <w:r w:rsidDel="00000000" w:rsidR="00000000" w:rsidRPr="00000000">
              <w:rPr>
                <w:sz w:val="22"/>
                <w:szCs w:val="22"/>
                <w:rtl w:val="0"/>
              </w:rPr>
              <w:t xml:space="preserve">) și mușchi sensibili la poluare precum Buxbaumia viridis sau Dicranum viride, specii care pot supraviețui doar în microclimate forestiere stabile și umede. În plus, prezența nevertebratelor endemice sau rare precum croitorul fagului (</w:t>
            </w:r>
            <w:r w:rsidDel="00000000" w:rsidR="00000000" w:rsidRPr="00000000">
              <w:rPr>
                <w:i w:val="1"/>
                <w:iCs w:val="1"/>
                <w:sz w:val="22"/>
                <w:szCs w:val="22"/>
                <w:rtl w:val="0"/>
              </w:rPr>
              <w:t xml:space="preserve">Rosalia alpina</w:t>
            </w:r>
            <w:r w:rsidDel="00000000" w:rsidR="00000000" w:rsidRPr="00000000">
              <w:rPr>
                <w:sz w:val="22"/>
                <w:szCs w:val="22"/>
                <w:rtl w:val="0"/>
              </w:rPr>
              <w:t xml:space="preserve">), subliniază funcția acestor rezervații ca sanctuare ale unor linii evolutive vechi. Menținerea acestor zone fără intervenție umană este crucială pentru conservarea proceselor ecologice naturale și a speciilor care nu pot supraviețui în păduri exploatate economic.</w:t>
            </w:r>
          </w:p>
          <w:p w:rsidR="00000000" w:rsidDel="00000000" w:rsidP="00000000" w:rsidRDefault="00000000" w:rsidRPr="00000000" w14:paraId="00000104">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seculare, pădurile virgine și cvasivirgine (Chiril, Giumalău, Slătioara) și pădurile aflate în arii protejate UNESCO, precum și pe prezența speciilor de interes conservativ asociate.</w:t>
            </w:r>
          </w:p>
          <w:p w:rsidR="00000000" w:rsidDel="00000000" w:rsidP="00000000" w:rsidRDefault="00000000" w:rsidRPr="00000000" w14:paraId="00000105">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300" w:lineRule="auto"/>
              <w:rPr>
                <w:sz w:val="22"/>
                <w:szCs w:val="22"/>
              </w:rPr>
            </w:pPr>
            <w:r w:rsidDel="00000000" w:rsidR="00000000" w:rsidRPr="00000000">
              <w:rPr>
                <w:sz w:val="22"/>
                <w:szCs w:val="22"/>
                <w:rtl w:val="0"/>
              </w:rPr>
              <w:t xml:space="preserve">Nu este cazul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PVCV</w:t>
            </w:r>
          </w:p>
          <w:p w:rsidR="00000000" w:rsidDel="00000000" w:rsidP="00000000" w:rsidRDefault="00000000" w:rsidRPr="00000000" w14:paraId="0000010A">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B">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C">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D">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E">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F">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0">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1">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12">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3">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4">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5">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16">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30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1A">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11B">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11D">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11E">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83,06</w:t>
      </w:r>
    </w:p>
    <w:p w:rsidR="00000000" w:rsidDel="00000000" w:rsidP="00000000" w:rsidRDefault="00000000" w:rsidRPr="00000000" w14:paraId="00000120">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2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Jurnalul Consiliului de Miniștri nr. 284/1941: </w:t>
        <w:tab/>
        <w:t xml:space="preserve">Fânațele montane Todirescu, Codrul Secular Slătioara;</w:t>
      </w:r>
    </w:p>
    <w:p w:rsidR="00000000" w:rsidDel="00000000" w:rsidP="00000000" w:rsidRDefault="00000000" w:rsidRPr="00000000" w14:paraId="00000122">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RONPA0733 Fânațele montane Todirescu, RONPA0740 Codrul Secular Slătioara;</w:t>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sz w:val="22"/>
          <w:szCs w:val="22"/>
          <w:rtl w:val="0"/>
        </w:rPr>
        <w:t xml:space="preserve"/>
      </w:r>
    </w:p>
    <w:p w:rsidR="00000000" w:rsidDel="00000000" w:rsidP="00000000" w:rsidRDefault="00000000" w:rsidRPr="00000000" w14:paraId="0000012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Decizia Comitetului patrimoniului mondial UNESCO adoptată în cadrul celei de-a 41-a  sesiuni desfășurată la Cracovia în iulie 2017;</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7">
      <w:pPr>
        <w:spacing w:after="0" w:before="160" w:line="300" w:lineRule="auto"/>
        <w:rPr>
          <w:sz w:val="22"/>
          <w:szCs w:val="22"/>
        </w:rPr>
      </w:pPr>
      <w:r w:rsidDel="00000000" w:rsidR="00000000" w:rsidRPr="00000000">
        <w:rPr>
          <w:rtl w:val="0"/>
        </w:rPr>
      </w:r>
    </w:p>
    <w:p w:rsidR="00000000" w:rsidDel="00000000" w:rsidP="00000000" w:rsidRDefault="00000000" w:rsidRPr="00000000" w14:paraId="00000128">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70.0" w:type="dxa"/>
        <w:jc w:val="left"/>
        <w:tblInd w:w="10.0" w:type="dxa"/>
        <w:tblLayout w:type="fixed"/>
        <w:tblLook w:val="0400"/>
      </w:tblPr>
      <w:tblGrid>
        <w:gridCol w:w="2392"/>
        <w:gridCol w:w="6578"/>
        <w:tblGridChange w:id="0">
          <w:tblGrid>
            <w:gridCol w:w="2392"/>
            <w:gridCol w:w="657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30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2D">
            <w:pPr>
              <w:spacing w:after="0" w:line="300" w:lineRule="auto"/>
              <w:jc w:val="both"/>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E">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30">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131">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32">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133">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34">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135">
            <w:pPr>
              <w:spacing w:after="0" w:line="24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36">
            <w:pPr>
              <w:spacing w:after="0" w:line="24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137">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38">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139">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3A">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3B">
            <w:pPr>
              <w:spacing w:after="0" w:line="24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3C">
            <w:pPr>
              <w:spacing w:after="0" w:line="24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13D">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3E">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3F">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40">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41">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42">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43">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44">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45">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46">
            <w:pPr>
              <w:spacing w:after="0" w:line="24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47">
            <w:pPr>
              <w:spacing w:after="0" w:line="24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48">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A">
            <w:pPr>
              <w:spacing w:after="0" w:line="300" w:lineRule="auto"/>
              <w:jc w:val="both"/>
              <w:rPr>
                <w:sz w:val="22"/>
                <w:szCs w:val="22"/>
              </w:rPr>
            </w:pPr>
            <w:r w:rsidDel="00000000" w:rsidR="00000000" w:rsidRPr="00000000">
              <w:rPr>
                <w:sz w:val="22"/>
                <w:szCs w:val="22"/>
                <w:rtl w:val="0"/>
              </w:rPr>
              <w:t xml:space="preserve">Zonă inclusă în patrimoniul mondial UNESCO ca parte a sitului „Pădurile virgine de fag din Carpați”, reprezintă un model de referință pentru procesele ecologice naturale, nealterate de intervenția umană. Valoarea lor este definită de integritatea excepțională a Codrului Secular Slătioara, unde fagul dacic (91V0) și molidișurile de limită creează o structură forestieră stratificată, cu arbori pluriseculari și volume uriașe de lemn mort. Acest areal este un teritoriu esențial pentru carnivorele mari care găsesc aici condiții optime de liniște și hrană și pentru amfibieni și insecte de interes comunitar</w:t>
            </w:r>
          </w:p>
          <w:p w:rsidR="00000000" w:rsidDel="00000000" w:rsidP="00000000" w:rsidRDefault="00000000" w:rsidRPr="00000000" w14:paraId="0000014B">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14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aflate în arii protejate UNESCO, precum și pe prezența speciilor de interes conservativ asociate.</w:t>
            </w:r>
          </w:p>
          <w:p w:rsidR="00000000" w:rsidDel="00000000" w:rsidP="00000000" w:rsidRDefault="00000000" w:rsidRPr="00000000" w14:paraId="0000014D">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spacing w:after="0" w:line="300" w:lineRule="auto"/>
              <w:rPr>
                <w:sz w:val="22"/>
                <w:szCs w:val="22"/>
              </w:rPr>
            </w:pPr>
            <w:r w:rsidDel="00000000" w:rsidR="00000000" w:rsidRPr="00000000">
              <w:rPr>
                <w:sz w:val="22"/>
                <w:szCs w:val="22"/>
                <w:rtl w:val="0"/>
              </w:rPr>
              <w:t xml:space="preserve">A04 păşunatul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5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5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5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5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5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5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5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5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5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5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5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5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5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62">
      <w:pPr>
        <w:spacing w:after="80" w:before="240" w:line="300" w:lineRule="auto"/>
        <w:rPr>
          <w:b w:val="1"/>
          <w:bCs w:val="1"/>
          <w:sz w:val="22"/>
          <w:szCs w:val="22"/>
        </w:rPr>
      </w:pPr>
      <w:r w:rsidDel="00000000" w:rsidR="00000000" w:rsidRPr="00000000">
        <w:rPr>
          <w:b w:val="1"/>
          <w:bCs w:val="1"/>
          <w:sz w:val="22"/>
          <w:szCs w:val="22"/>
          <w:rtl w:val="0"/>
        </w:rPr>
        <w:t xml:space="preserve">3.2.4. Zona Prioritară pentru Biodiversitate nr. 4</w:t>
      </w:r>
    </w:p>
    <w:p w:rsidR="00000000" w:rsidDel="00000000" w:rsidP="00000000" w:rsidRDefault="00000000" w:rsidRPr="00000000" w14:paraId="00000163">
      <w:pPr>
        <w:spacing w:after="80" w:before="240" w:line="300" w:lineRule="auto"/>
        <w:rPr>
          <w:b w:val="1"/>
          <w:bCs w:val="1"/>
          <w:sz w:val="22"/>
          <w:szCs w:val="22"/>
        </w:rPr>
      </w:pPr>
      <w:r w:rsidDel="00000000" w:rsidR="00000000" w:rsidRPr="00000000">
        <w:rPr>
          <w:b w:val="1"/>
          <w:bCs w:val="1"/>
          <w:sz w:val="22"/>
          <w:szCs w:val="22"/>
          <w:rtl w:val="0"/>
        </w:rPr>
        <w:t xml:space="preserve">3.2.4.1. Cod Zona Prioritară pentru Biodiversitate nr. 4</w:t>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ZPB4</w:t>
      </w:r>
    </w:p>
    <w:p w:rsidR="00000000" w:rsidDel="00000000" w:rsidP="00000000" w:rsidRDefault="00000000" w:rsidRPr="00000000" w14:paraId="00000165">
      <w:pPr>
        <w:spacing w:after="80" w:before="240" w:line="300" w:lineRule="auto"/>
        <w:rPr>
          <w:b w:val="1"/>
          <w:bCs w:val="1"/>
          <w:sz w:val="22"/>
          <w:szCs w:val="22"/>
        </w:rPr>
      </w:pPr>
      <w:r w:rsidDel="00000000" w:rsidR="00000000" w:rsidRPr="00000000">
        <w:rPr>
          <w:b w:val="1"/>
          <w:bCs w:val="1"/>
          <w:sz w:val="22"/>
          <w:szCs w:val="22"/>
          <w:rtl w:val="0"/>
        </w:rPr>
        <w:t xml:space="preserve">3.2.4.2.  Detalii privind Zona Prioritară pentru Biodiversitate nr. 4</w:t>
      </w:r>
    </w:p>
    <w:p w:rsidR="00000000" w:rsidDel="00000000" w:rsidP="00000000" w:rsidRDefault="00000000" w:rsidRPr="00000000" w14:paraId="00000166">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6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833,86</w:t>
      </w:r>
    </w:p>
    <w:p w:rsidR="00000000" w:rsidDel="00000000" w:rsidP="00000000" w:rsidRDefault="00000000" w:rsidRPr="00000000" w14:paraId="00000168">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69">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r w:rsidDel="00000000" w:rsidR="00000000" w:rsidRPr="00000000">
        <w:rPr>
          <w:sz w:val="22"/>
          <w:szCs w:val="22"/>
          <w:rtl w:val="0"/>
        </w:rPr>
        <w:t xml:space="preserve"/>
      </w:r>
    </w:p>
    <w:p w:rsidR="00000000" w:rsidDel="00000000" w:rsidP="00000000" w:rsidRDefault="00000000" w:rsidRPr="00000000" w14:paraId="0000016A">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965/2016 privind aprobarea Planului de management și a Regulamentului siturilor Natura 2000 ROSCI0212 Rarău – Giumalău și ROSPA0083 Munții Rarău – Giumalău, precum și ale rezervațiilor naturale incluse;</w:t>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C">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6D">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6E">
      <w:pPr>
        <w:spacing w:after="0" w:line="240" w:lineRule="auto"/>
        <w:rPr>
          <w:sz w:val="22"/>
          <w:szCs w:val="22"/>
        </w:rPr>
      </w:pPr>
      <w:r w:rsidDel="00000000" w:rsidR="00000000" w:rsidRPr="00000000">
        <w:rPr>
          <w:rtl w:val="0"/>
        </w:rPr>
      </w:r>
    </w:p>
    <w:tbl>
      <w:tblPr>
        <w:tblStyle w:val="Table11"/>
        <w:tblW w:w="9004.0" w:type="dxa"/>
        <w:jc w:val="left"/>
        <w:tblInd w:w="10.0" w:type="dxa"/>
        <w:tblLayout w:type="fixed"/>
        <w:tblLook w:val="0400"/>
      </w:tblPr>
      <w:tblGrid>
        <w:gridCol w:w="2534"/>
        <w:gridCol w:w="6470"/>
        <w:tblGridChange w:id="0">
          <w:tblGrid>
            <w:gridCol w:w="2534"/>
            <w:gridCol w:w="64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after="0" w:lineRule="auto"/>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 91V0 Păduri dacice de fag (</w:t>
            </w:r>
            <w:r w:rsidDel="00000000" w:rsidR="00000000" w:rsidRPr="00000000">
              <w:rPr>
                <w:i w:val="1"/>
                <w:iCs w:val="1"/>
                <w:sz w:val="22"/>
                <w:szCs w:val="22"/>
                <w:rtl w:val="0"/>
              </w:rPr>
              <w:t xml:space="preserve">Symphyto-Fagion</w:t>
            </w:r>
            <w:r w:rsidDel="00000000" w:rsidR="00000000" w:rsidRPr="00000000">
              <w:rPr>
                <w:b w:val="1"/>
                <w:bCs w:val="1"/>
                <w:sz w:val="22"/>
                <w:szCs w:val="22"/>
                <w:rtl w:val="0"/>
              </w:rPr>
              <w:t xml:space="preserve">)</w:t>
            </w:r>
            <w:r w:rsidDel="00000000" w:rsidR="00000000" w:rsidRPr="00000000">
              <w:rPr>
                <w:rtl w:val="0"/>
              </w:rPr>
            </w:r>
          </w:p>
          <w:p w:rsidR="00000000" w:rsidDel="00000000" w:rsidP="00000000" w:rsidRDefault="00000000" w:rsidRPr="00000000" w14:paraId="00000173">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174">
            <w:pPr>
              <w:spacing w:after="0" w:lineRule="auto"/>
              <w:jc w:val="both"/>
              <w:rPr>
                <w:sz w:val="22"/>
                <w:szCs w:val="22"/>
              </w:rPr>
            </w:pPr>
            <w:r w:rsidDel="00000000" w:rsidR="00000000" w:rsidRPr="00000000">
              <w:rPr>
                <w:sz w:val="22"/>
                <w:szCs w:val="22"/>
                <w:rtl w:val="0"/>
              </w:rPr>
              <w:t xml:space="preserve">9410 Păduri acidofile de Picea abies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p w:rsidR="00000000" w:rsidDel="00000000" w:rsidP="00000000" w:rsidRDefault="00000000" w:rsidRPr="00000000" w14:paraId="00000175">
            <w:pPr>
              <w:spacing w:after="0" w:lineRule="auto"/>
              <w:jc w:val="both"/>
              <w:rPr>
                <w:b w:val="1"/>
                <w:bCs w:val="1"/>
                <w:sz w:val="22"/>
                <w:szCs w:val="22"/>
              </w:rPr>
            </w:pPr>
            <w:r w:rsidDel="00000000" w:rsidR="00000000" w:rsidRPr="00000000">
              <w:rPr>
                <w:b w:val="1"/>
                <w:bCs w:val="1"/>
                <w:sz w:val="22"/>
                <w:szCs w:val="22"/>
                <w:rtl w:val="0"/>
              </w:rPr>
              <w:t xml:space="preserve">Habitate de pajiști naturale:</w:t>
            </w:r>
          </w:p>
          <w:p w:rsidR="00000000" w:rsidDel="00000000" w:rsidP="00000000" w:rsidRDefault="00000000" w:rsidRPr="00000000" w14:paraId="00000176">
            <w:pPr>
              <w:spacing w:after="0" w:lineRule="auto"/>
              <w:jc w:val="both"/>
              <w:rPr>
                <w:sz w:val="22"/>
                <w:szCs w:val="22"/>
              </w:rPr>
            </w:pPr>
            <w:r w:rsidDel="00000000" w:rsidR="00000000" w:rsidRPr="00000000">
              <w:rPr>
                <w:sz w:val="22"/>
                <w:szCs w:val="22"/>
                <w:rtl w:val="0"/>
              </w:rPr>
              <w:t xml:space="preserve">6170 Pajişti calcifile alpine şi subalpine</w:t>
            </w:r>
          </w:p>
          <w:p w:rsidR="00000000" w:rsidDel="00000000" w:rsidP="00000000" w:rsidRDefault="00000000" w:rsidRPr="00000000" w14:paraId="00000177">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178">
            <w:pPr>
              <w:spacing w:after="0" w:lineRule="auto"/>
              <w:jc w:val="both"/>
              <w:rPr>
                <w:sz w:val="22"/>
                <w:szCs w:val="22"/>
              </w:rPr>
            </w:pPr>
            <w:r w:rsidDel="00000000" w:rsidR="00000000" w:rsidRPr="00000000">
              <w:rPr>
                <w:sz w:val="22"/>
                <w:szCs w:val="22"/>
                <w:rtl w:val="0"/>
              </w:rPr>
              <w:t xml:space="preserve">6230* Pajişti montane de Nardus bogate în specii pe substraturi silicioase</w:t>
            </w:r>
          </w:p>
          <w:p w:rsidR="00000000" w:rsidDel="00000000" w:rsidP="00000000" w:rsidRDefault="00000000" w:rsidRPr="00000000" w14:paraId="00000179">
            <w:pPr>
              <w:spacing w:after="0" w:lineRule="auto"/>
              <w:jc w:val="both"/>
              <w:rPr>
                <w:b w:val="1"/>
                <w:bCs w:val="1"/>
                <w:sz w:val="22"/>
                <w:szCs w:val="22"/>
              </w:rPr>
            </w:pPr>
            <w:r w:rsidDel="00000000" w:rsidR="00000000" w:rsidRPr="00000000">
              <w:rPr>
                <w:b w:val="1"/>
                <w:bCs w:val="1"/>
                <w:sz w:val="22"/>
                <w:szCs w:val="22"/>
                <w:rtl w:val="0"/>
              </w:rPr>
              <w:t xml:space="preserve">Habitate de pajiști</w:t>
            </w:r>
            <w:r w:rsidDel="00000000" w:rsidR="00000000" w:rsidRPr="00000000">
              <w:rPr>
                <w:sz w:val="22"/>
                <w:szCs w:val="22"/>
                <w:rtl w:val="0"/>
              </w:rPr>
              <w:t xml:space="preserve"> </w:t>
            </w:r>
            <w:r w:rsidDel="00000000" w:rsidR="00000000" w:rsidRPr="00000000">
              <w:rPr>
                <w:b w:val="1"/>
                <w:bCs w:val="1"/>
                <w:sz w:val="22"/>
                <w:szCs w:val="22"/>
                <w:rtl w:val="0"/>
              </w:rPr>
              <w:t xml:space="preserve">umede seminaturale cu ierburi înalte</w:t>
            </w:r>
          </w:p>
          <w:p w:rsidR="00000000" w:rsidDel="00000000" w:rsidP="00000000" w:rsidRDefault="00000000" w:rsidRPr="00000000" w14:paraId="0000017A">
            <w:pPr>
              <w:spacing w:after="0" w:lineRule="auto"/>
              <w:jc w:val="both"/>
              <w:rPr>
                <w:sz w:val="22"/>
                <w:szCs w:val="22"/>
              </w:rPr>
            </w:pPr>
            <w:r w:rsidDel="00000000" w:rsidR="00000000" w:rsidRPr="00000000">
              <w:rPr>
                <w:sz w:val="22"/>
                <w:szCs w:val="22"/>
                <w:rtl w:val="0"/>
              </w:rPr>
              <w:t xml:space="preserve">6430 Comunităţi de lizieră cu ierburi înalte higrofile de la nivelul câmpiilor, până la cel montan şi alpin</w:t>
            </w:r>
          </w:p>
          <w:p w:rsidR="00000000" w:rsidDel="00000000" w:rsidP="00000000" w:rsidRDefault="00000000" w:rsidRPr="00000000" w14:paraId="0000017B">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7C">
            <w:pPr>
              <w:spacing w:after="0" w:lineRule="auto"/>
              <w:jc w:val="both"/>
              <w:rPr>
                <w:sz w:val="22"/>
                <w:szCs w:val="22"/>
              </w:rPr>
            </w:pPr>
            <w:r w:rsidDel="00000000" w:rsidR="00000000" w:rsidRPr="00000000">
              <w:rPr>
                <w:sz w:val="22"/>
                <w:szCs w:val="22"/>
                <w:rtl w:val="0"/>
              </w:rPr>
              <w:t xml:space="preserve">4060 Tufărişuri alpine şi boreale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7F">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180">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81">
            <w:pPr>
              <w:spacing w:after="0" w:line="240" w:lineRule="auto"/>
              <w:rPr>
                <w:i w:val="1"/>
                <w:iCs w:val="1"/>
                <w:sz w:val="22"/>
                <w:szCs w:val="22"/>
              </w:rPr>
            </w:pPr>
            <w:r w:rsidDel="00000000" w:rsidR="00000000" w:rsidRPr="00000000">
              <w:rPr>
                <w:i w:val="1"/>
                <w:iCs w:val="1"/>
                <w:sz w:val="22"/>
                <w:szCs w:val="22"/>
                <w:rtl w:val="0"/>
              </w:rPr>
              <w:t xml:space="preserve">1355 Lutra lutra </w:t>
            </w:r>
          </w:p>
          <w:p w:rsidR="00000000" w:rsidDel="00000000" w:rsidP="00000000" w:rsidRDefault="00000000" w:rsidRPr="00000000" w14:paraId="00000182">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83">
            <w:pP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184">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85">
            <w:pPr>
              <w:spacing w:after="0" w:line="24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86">
            <w:pPr>
              <w:spacing w:after="0" w:line="24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87">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88">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89">
            <w:pPr>
              <w:spacing w:after="0" w:line="24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8A">
            <w:pPr>
              <w:spacing w:after="0" w:line="24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8B">
            <w:pPr>
              <w:spacing w:after="0" w:line="240" w:lineRule="auto"/>
              <w:rPr>
                <w:i w:val="1"/>
                <w:iCs w:val="1"/>
                <w:sz w:val="22"/>
                <w:szCs w:val="22"/>
              </w:rPr>
            </w:pPr>
            <w:r w:rsidDel="00000000" w:rsidR="00000000" w:rsidRPr="00000000">
              <w:rPr>
                <w:i w:val="1"/>
                <w:iCs w:val="1"/>
                <w:sz w:val="22"/>
                <w:szCs w:val="22"/>
                <w:rtl w:val="0"/>
              </w:rPr>
              <w:t xml:space="preserve">1318 Myotis dasycneme</w:t>
            </w:r>
          </w:p>
          <w:p w:rsidR="00000000" w:rsidDel="00000000" w:rsidP="00000000" w:rsidRDefault="00000000" w:rsidRPr="00000000" w14:paraId="0000018C">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8D">
            <w:pPr>
              <w:spacing w:after="0" w:line="240" w:lineRule="auto"/>
              <w:rPr>
                <w:b w:val="1"/>
                <w:bCs w:val="1"/>
                <w:sz w:val="22"/>
                <w:szCs w:val="22"/>
              </w:rPr>
            </w:pPr>
            <w:r w:rsidDel="00000000" w:rsidR="00000000" w:rsidRPr="00000000">
              <w:rPr>
                <w:i w:val="1"/>
                <w:iCs w:val="1"/>
                <w:sz w:val="22"/>
                <w:szCs w:val="22"/>
                <w:rtl w:val="0"/>
              </w:rPr>
              <w:t xml:space="preserve">1166 Triturus cristatus</w:t>
            </w:r>
            <w:r w:rsidDel="00000000" w:rsidR="00000000" w:rsidRPr="00000000">
              <w:rPr>
                <w:rtl w:val="0"/>
              </w:rPr>
            </w:r>
          </w:p>
          <w:p w:rsidR="00000000" w:rsidDel="00000000" w:rsidP="00000000" w:rsidRDefault="00000000" w:rsidRPr="00000000" w14:paraId="0000018E">
            <w:pPr>
              <w:spacing w:after="0" w:line="240" w:lineRule="auto"/>
              <w:rPr>
                <w:b w:val="1"/>
                <w:bCs w:val="1"/>
                <w:sz w:val="22"/>
                <w:szCs w:val="22"/>
              </w:rPr>
            </w:pPr>
            <w:r w:rsidDel="00000000" w:rsidR="00000000" w:rsidRPr="00000000">
              <w:rPr>
                <w:i w:val="1"/>
                <w:iCs w:val="1"/>
                <w:sz w:val="22"/>
                <w:szCs w:val="22"/>
                <w:rtl w:val="0"/>
              </w:rPr>
              <w:t xml:space="preserve">2001 Triturus montandoni</w:t>
            </w:r>
            <w:r w:rsidDel="00000000" w:rsidR="00000000" w:rsidRPr="00000000">
              <w:rPr>
                <w:rtl w:val="0"/>
              </w:rPr>
            </w:r>
          </w:p>
          <w:p w:rsidR="00000000" w:rsidDel="00000000" w:rsidP="00000000" w:rsidRDefault="00000000" w:rsidRPr="00000000" w14:paraId="0000018F">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90">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91">
            <w:pPr>
              <w:spacing w:after="0" w:lineRule="auto"/>
              <w:jc w:val="both"/>
              <w:rPr>
                <w:i w:val="1"/>
                <w:iCs w:val="1"/>
              </w:rPr>
            </w:pPr>
            <w:r w:rsidDel="00000000" w:rsidR="00000000" w:rsidRPr="00000000">
              <w:rPr>
                <w:i w:val="1"/>
                <w:iCs w:val="1"/>
                <w:sz w:val="22"/>
                <w:szCs w:val="22"/>
                <w:rtl w:val="0"/>
              </w:rPr>
              <w:t xml:space="preserve">1087 Rosalia alpina</w:t>
            </w:r>
            <w:r w:rsidDel="00000000" w:rsidR="00000000" w:rsidRPr="00000000">
              <w:rPr>
                <w:rtl w:val="0"/>
              </w:rPr>
            </w:r>
          </w:p>
          <w:p w:rsidR="00000000" w:rsidDel="00000000" w:rsidP="00000000" w:rsidRDefault="00000000" w:rsidRPr="00000000" w14:paraId="00000192">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93">
            <w:pPr>
              <w:spacing w:after="0" w:lineRule="auto"/>
              <w:jc w:val="both"/>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194">
            <w:pPr>
              <w:spacing w:after="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95">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96">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97">
            <w:pPr>
              <w:spacing w:after="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98">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99">
            <w:pPr>
              <w:spacing w:after="0" w:lineRule="auto"/>
              <w:jc w:val="both"/>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9A">
            <w:pPr>
              <w:spacing w:after="0" w:lineRule="auto"/>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9B">
            <w:pPr>
              <w:spacing w:after="0" w:lineRule="auto"/>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9C">
            <w:pPr>
              <w:spacing w:after="0" w:lineRule="auto"/>
              <w:jc w:val="both"/>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300" w:lineRule="auto"/>
              <w:jc w:val="both"/>
              <w:rPr>
                <w:sz w:val="22"/>
                <w:szCs w:val="22"/>
              </w:rPr>
            </w:pPr>
            <w:r w:rsidDel="00000000" w:rsidR="00000000" w:rsidRPr="00000000">
              <w:rPr>
                <w:sz w:val="22"/>
                <w:szCs w:val="22"/>
                <w:rtl w:val="0"/>
              </w:rPr>
              <w:t xml:space="preserve">Zona constituie un refugiu pentru biodiversitate, remarcându-se prin coexistența habitatelor montane înalte cu păduri seculare de o puritate ridicată inclusiv păduri T1. Valoarea sa este dată de rolul de coridor biologic pentru carnivorele mari și de sanctuar pentru specii endemice (precum Pholidoptera transsylvanica) și plante protejate la nivel global. Menținerea acestui echilibru fragil între pajiști și păduri este esențială pentru stabilitatea ecologică a regiunii și pentru conservarea proceselor evolutive naturale.</w:t>
            </w:r>
          </w:p>
          <w:p w:rsidR="00000000" w:rsidDel="00000000" w:rsidP="00000000" w:rsidRDefault="00000000" w:rsidRPr="00000000" w14:paraId="0000019F">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A0">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1A1">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3">
            <w:pPr>
              <w:spacing w:after="0" w:line="30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A4">
            <w:pPr>
              <w:spacing w:after="0" w:line="300" w:lineRule="auto"/>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A7">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A8">
            <w:pPr>
              <w:tabs>
                <w:tab w:val="left" w:leader="none" w:pos="270"/>
              </w:tabs>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A9">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AA">
            <w:pPr>
              <w:tabs>
                <w:tab w:val="left" w:leader="none" w:pos="270"/>
              </w:tabs>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AB">
            <w:pPr>
              <w:tabs>
                <w:tab w:val="left" w:leader="none" w:pos="270"/>
              </w:tabs>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AC">
            <w:pPr>
              <w:tabs>
                <w:tab w:val="left" w:leader="none" w:pos="270"/>
              </w:tabs>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AD">
            <w:pPr>
              <w:tabs>
                <w:tab w:val="left" w:leader="none" w:pos="270"/>
              </w:tabs>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AE">
            <w:pPr>
              <w:tabs>
                <w:tab w:val="left" w:leader="none" w:pos="270"/>
              </w:tabs>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AF">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B0">
            <w:pPr>
              <w:tabs>
                <w:tab w:val="left" w:leader="none" w:pos="270"/>
              </w:tabs>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B1">
            <w:pPr>
              <w:tabs>
                <w:tab w:val="left" w:leader="none" w:pos="270"/>
              </w:tabs>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B2">
            <w:pPr>
              <w:tabs>
                <w:tab w:val="left" w:leader="none" w:pos="270"/>
              </w:tabs>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B3">
            <w:pPr>
              <w:tabs>
                <w:tab w:val="left" w:leader="none" w:pos="270"/>
              </w:tabs>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B4">
            <w:pPr>
              <w:tabs>
                <w:tab w:val="left" w:leader="none" w:pos="270"/>
              </w:tabs>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B5">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1B6">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B7">
            <w:pPr>
              <w:tabs>
                <w:tab w:val="left" w:leader="none" w:pos="270"/>
              </w:tabs>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B8">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B9">
            <w:pPr>
              <w:tabs>
                <w:tab w:val="left" w:leader="none" w:pos="270"/>
              </w:tabs>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BA">
            <w:pPr>
              <w:tabs>
                <w:tab w:val="left" w:leader="none" w:pos="270"/>
              </w:tabs>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BB">
            <w:pPr>
              <w:tabs>
                <w:tab w:val="left" w:leader="none" w:pos="270"/>
              </w:tabs>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BC">
            <w:pPr>
              <w:tabs>
                <w:tab w:val="left" w:leader="none" w:pos="270"/>
              </w:tabs>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BD">
            <w:pPr>
              <w:tabs>
                <w:tab w:val="left" w:leader="none" w:pos="270"/>
              </w:tabs>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BE">
            <w:pPr>
              <w:tabs>
                <w:tab w:val="left" w:leader="none" w:pos="270"/>
              </w:tabs>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BF">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C0">
            <w:pPr>
              <w:tabs>
                <w:tab w:val="left" w:leader="none" w:pos="270"/>
              </w:tabs>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C1">
            <w:pPr>
              <w:tabs>
                <w:tab w:val="left" w:leader="none" w:pos="270"/>
              </w:tabs>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C2">
            <w:pPr>
              <w:tabs>
                <w:tab w:val="left" w:leader="none" w:pos="270"/>
              </w:tabs>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C3">
            <w:pPr>
              <w:tabs>
                <w:tab w:val="left" w:leader="none" w:pos="270"/>
              </w:tabs>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C4">
            <w:pPr>
              <w:tabs>
                <w:tab w:val="left" w:leader="none" w:pos="270"/>
              </w:tabs>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C5">
            <w:pPr>
              <w:tabs>
                <w:tab w:val="left" w:leader="none" w:pos="270"/>
              </w:tabs>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C6">
            <w:pPr>
              <w:tabs>
                <w:tab w:val="left" w:leader="none" w:pos="270"/>
              </w:tabs>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C7">
            <w:pPr>
              <w:tabs>
                <w:tab w:val="left" w:leader="none" w:pos="270"/>
              </w:tabs>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C8">
            <w:pPr>
              <w:tabs>
                <w:tab w:val="left" w:leader="none" w:pos="270"/>
              </w:tabs>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C9">
            <w:pPr>
              <w:tabs>
                <w:tab w:val="left" w:leader="none" w:pos="270"/>
              </w:tabs>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CA">
            <w:pPr>
              <w:tabs>
                <w:tab w:val="left" w:leader="none" w:pos="270"/>
              </w:tabs>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CB">
            <w:pPr>
              <w:tabs>
                <w:tab w:val="left" w:leader="none" w:pos="270"/>
              </w:tabs>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CC">
            <w:pPr>
              <w:tabs>
                <w:tab w:val="left" w:leader="none" w:pos="270"/>
              </w:tabs>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CD">
            <w:pPr>
              <w:tabs>
                <w:tab w:val="left" w:leader="none" w:pos="270"/>
              </w:tabs>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CE">
            <w:pPr>
              <w:tabs>
                <w:tab w:val="left" w:leader="none" w:pos="270"/>
              </w:tabs>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CF">
            <w:pPr>
              <w:tabs>
                <w:tab w:val="left" w:leader="none" w:pos="270"/>
              </w:tabs>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D0">
            <w:pPr>
              <w:tabs>
                <w:tab w:val="left" w:leader="none" w:pos="270"/>
              </w:tabs>
              <w:spacing w:line="276"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D1">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D2">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D3">
            <w:pPr>
              <w:tabs>
                <w:tab w:val="left" w:leader="none" w:pos="270"/>
              </w:tabs>
              <w:spacing w:line="276"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D4">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D5">
            <w:pPr>
              <w:tabs>
                <w:tab w:val="left" w:leader="none" w:pos="270"/>
              </w:tabs>
              <w:spacing w:line="276"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D6">
            <w:pPr>
              <w:tabs>
                <w:tab w:val="left" w:leader="none" w:pos="270"/>
              </w:tabs>
              <w:spacing w:line="276"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D7">
            <w:pPr>
              <w:tabs>
                <w:tab w:val="left" w:leader="none" w:pos="270"/>
              </w:tabs>
              <w:spacing w:line="276"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D8">
            <w:pPr>
              <w:tabs>
                <w:tab w:val="left" w:leader="none" w:pos="270"/>
              </w:tabs>
              <w:spacing w:line="276"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D9">
            <w:pPr>
              <w:tabs>
                <w:tab w:val="left" w:leader="none" w:pos="270"/>
              </w:tabs>
              <w:spacing w:line="276"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DA">
            <w:pPr>
              <w:tabs>
                <w:tab w:val="left" w:leader="none" w:pos="270"/>
              </w:tabs>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DB">
            <w:pPr>
              <w:tabs>
                <w:tab w:val="left" w:leader="none" w:pos="270"/>
              </w:tabs>
              <w:spacing w:line="276"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DC">
            <w:pPr>
              <w:tabs>
                <w:tab w:val="left" w:leader="none" w:pos="270"/>
              </w:tabs>
              <w:spacing w:line="276"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DD">
            <w:pPr>
              <w:tabs>
                <w:tab w:val="left" w:leader="none" w:pos="270"/>
              </w:tabs>
              <w:spacing w:line="276"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DE">
            <w:pPr>
              <w:tabs>
                <w:tab w:val="left" w:leader="none" w:pos="270"/>
              </w:tabs>
              <w:spacing w:line="276"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DF">
            <w:pPr>
              <w:tabs>
                <w:tab w:val="left" w:leader="none" w:pos="270"/>
              </w:tabs>
              <w:spacing w:line="276"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E0">
            <w:pPr>
              <w:tabs>
                <w:tab w:val="left" w:leader="none" w:pos="270"/>
              </w:tabs>
              <w:spacing w:line="276"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E1">
            <w:pPr>
              <w:tabs>
                <w:tab w:val="left" w:leader="none" w:pos="270"/>
              </w:tabs>
              <w:spacing w:line="276"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E2">
            <w:pPr>
              <w:tabs>
                <w:tab w:val="left" w:leader="none" w:pos="270"/>
              </w:tabs>
              <w:spacing w:line="276" w:lineRule="auto"/>
              <w:ind w:left="0" w:firstLine="0"/>
              <w:jc w:val="both"/>
              <w:rPr>
                <w:sz w:val="22"/>
                <w:szCs w:val="22"/>
              </w:rPr>
            </w:pPr>
            <w:r w:rsidDel="00000000" w:rsidR="00000000" w:rsidRPr="00000000">
              <w:rPr>
                <w:rtl w:val="0"/>
              </w:rPr>
            </w:r>
          </w:p>
          <w:p w:rsidR="00000000" w:rsidDel="00000000" w:rsidP="00000000" w:rsidRDefault="00000000" w:rsidRPr="00000000" w14:paraId="000001E1">
            <w:pPr>
              <w:tabs>
                <w:tab w:val="left" w:leader="none" w:pos="270"/>
              </w:tabs>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4">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E5">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E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bookmarkStart w:colFirst="0" w:colLast="0" w:name="_heading=h.hlnv233pf25s" w:id="0"/>
      <w:bookmarkEnd w:id="0"/>
      <w:r w:rsidDel="00000000" w:rsidR="00000000" w:rsidRPr="00000000">
        <w:rPr>
          <w:sz w:val="22"/>
          <w:szCs w:val="22"/>
          <w:rtl w:val="0"/>
        </w:rPr>
        <w:t xml:space="preserve">Pricop, E. Și colab. 2016. Monitoring the protected entomofauna of Rarău – Giumalău Mountains with notes regarding the distribution and habitat of some rare species (preliminary studies). ELBA Bioflux, 2016, Volume 8, Issue 2.</w:t>
      </w:r>
    </w:p>
    <w:p w:rsidR="00000000" w:rsidDel="00000000" w:rsidP="00000000" w:rsidRDefault="00000000" w:rsidRPr="00000000" w14:paraId="000001E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Iorgu E. I., Iorgu I. Ș., 2008 Bush crikets, crickets and grasshoppers from Moldavia. PIM, Iaşi, 294 pp.,</w:t>
      </w:r>
    </w:p>
    <w:p w:rsidR="00000000" w:rsidDel="00000000" w:rsidP="00000000" w:rsidRDefault="00000000" w:rsidRPr="00000000" w14:paraId="000001E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Oprea, A., Sîrbu, C., 2012. The vascular flora of Rarău Massif (Eastern Carpathians, Romania). Note I. Memoirs of the Scientific Sections of the Romanian Academy Tome XXXV.</w:t>
      </w:r>
    </w:p>
    <w:p w:rsidR="00000000" w:rsidDel="00000000" w:rsidP="00000000" w:rsidRDefault="00000000" w:rsidRPr="00000000" w14:paraId="000001E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RUSU C., Masivul Rarău. Studiu de geografie fizică, Edit. Academiei Române, Bucureşti, 2002.</w:t>
      </w:r>
    </w:p>
    <w:p w:rsidR="00000000" w:rsidDel="00000000" w:rsidP="00000000" w:rsidRDefault="00000000" w:rsidRPr="00000000" w14:paraId="000001EA">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EB">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EC">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 avut loc o consultare suplimentară online în data de 22 ianuarie 2026, cu participarea factorilor interesați relevanți din județul Suceava.</w:t>
      </w:r>
    </w:p>
    <w:p w:rsidR="00000000" w:rsidDel="00000000" w:rsidP="00000000" w:rsidRDefault="00000000" w:rsidRPr="00000000" w14:paraId="000001ED">
      <w:pPr>
        <w:jc w:val="both"/>
        <w:rPr>
          <w:b w:val="1"/>
          <w:bCs w:val="1"/>
          <w:sz w:val="22"/>
          <w:szCs w:val="22"/>
        </w:rPr>
      </w:pPr>
      <w:r w:rsidDel="00000000" w:rsidR="00000000" w:rsidRPr="00000000">
        <w:rPr>
          <w:rtl w:val="0"/>
        </w:rPr>
      </w:r>
    </w:p>
    <w:p w:rsidR="00000000" w:rsidDel="00000000" w:rsidP="00000000" w:rsidRDefault="00000000" w:rsidRPr="00000000" w14:paraId="000001EE">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EF">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F0">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Times New Roman"/>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pM3z08jme0iRPULpEF1ihTPD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xudjIzM3BmMjVzOAByITFlbFpTM3oxcGV2MG0yZTVLRml1N0JHVEtnUG1lN2NX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